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fixed"/>
        <w:tblLook w:val="04A0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375" w:hRule="atLeast"/>
        </w:trPr>
        <w:tc>
          <w:tcPr>
            <w:tcW w:w="14450" w:type="dxa"/>
            <w:gridSpan w:val="50"/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Техническое задание по Лоту №1</w:t>
            </w:r>
          </w:p>
        </w:tc>
      </w:tr>
      <w:tr>
        <w:trPr>
          <w:trHeight w:val="375" w:hRule="atLeast"/>
        </w:trPr>
        <w:tc>
          <w:tcPr>
            <w:tcW w:w="14450" w:type="dxa"/>
            <w:gridSpan w:val="50"/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открытому запросу предложений  в электронной форме № 160 443</w:t>
            </w:r>
          </w:p>
        </w:tc>
      </w:tr>
      <w:tr>
        <w:trPr>
          <w:trHeight w:val="375" w:hRule="atLeast"/>
        </w:trPr>
        <w:tc>
          <w:tcPr>
            <w:tcW w:w="14450" w:type="dxa"/>
            <w:gridSpan w:val="50"/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нужд: Акционерное Общество "Газпром газораспределение Тула"</w:t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300" w:hRule="atLeast"/>
        </w:trPr>
        <w:tc>
          <w:tcPr>
            <w:tcW w:w="578" w:type="dxa"/>
            <w:vMerge w:val="restart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vMerge w:val="restart"/>
            <w:gridSpan w:val="2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ОКВЭД</w:t>
            </w:r>
          </w:p>
        </w:tc>
      </w:tr>
      <w:tr>
        <w:trPr>
          <w:trHeight w:val="300" w:hRule="atLeast"/>
        </w:trPr>
        <w:tc>
          <w:tcPr>
            <w:tcW w:w="578" w:type="dxa"/>
            <w:vMerge w:val="continue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vMerge w:val="continue"/>
            <w:gridSpan w:val="2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</w:tr>
      <w:tr>
        <w:trPr>
          <w:trHeight w:val="73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№</w:t>
              <w:br/>
              <w:t>
п/п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  <w:br/>
              <w:t>
изм.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Колич</w:t>
              <w:br/>
              <w:t>
ество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Допустимость аналога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Место (адрес) поставки товара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водогазопроводная 40ммx3.5мм ГОСТ 3262-75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0,045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3262-75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водогазопроводная 32ммx3.2мм ГОСТ 3262-75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3262-75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D102х3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0,094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D325х6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0,210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D159х4.5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0,257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D273х7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0,262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водогазопроводная 25ммx3.2мм ГОСТ 3262-75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0,330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3262-75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D219х4.5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0,572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D219х7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0,757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D76х3.5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1,265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975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2" w:type="dxa"/>
            <w:gridSpan w:val="18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Труба стальная электросварная прямошовная D108х4 ГОСТ 10704-91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1156" w:type="dxa"/>
            <w:gridSpan w:val="4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2,463</w:t>
            </w:r>
          </w:p>
        </w:tc>
        <w:tc>
          <w:tcPr>
            <w:tcW w:w="867" w:type="dxa"/>
            <w:gridSpan w:val="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90" w:type="dxa"/>
            <w:gridSpan w:val="10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>
        <w:trPr>
          <w:trHeight w:val="975" w:hRule="atLeast"/>
        </w:trPr>
        <w:tc>
          <w:tcPr>
            <w:tcW w:w="1445" w:type="dxa"/>
            <w:gridSpan w:val="5"/>
            <w:shd w:val="clear" w:color="FFFFFF" w:fill="auto"/>
            <w:textDirection w:val="lrTb"/>
            <w:vAlign w:val="top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>
            <w:pPr>
              <w:ind w:left="20"/>
              <w:wordWrap w:val="1"/>
              <w:jc w:val="left"/>
            </w:pPr>
            <w:r>
              <w:rPr>
                <w:rFonts w:ascii="Times New Roman" w:hAnsi="Times New Roman"/>
                <w:sz w:val="18"/>
                <w:szCs w:val="18"/>
              </w:rPr>
              <w:t>ГОСТ 10704-91</w:t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13872" w:type="dxa"/>
            <w:gridSpan w:val="48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Условия поставки товаров</w:t>
            </w:r>
          </w:p>
        </w:tc>
      </w:tr>
      <w:tr>
        <w:trPr>
          <w:trHeight w:val="300" w:hRule="atLeast"/>
        </w:trPr>
        <w:tc>
          <w:tcPr>
            <w:tcW w:w="4335" w:type="dxa"/>
            <w:gridSpan w:val="15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Грузополучатель</w:t>
            </w:r>
          </w:p>
        </w:tc>
        <w:tc>
          <w:tcPr>
            <w:tcW w:w="10115" w:type="dxa"/>
            <w:gridSpan w:val="3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Акционерное Общество "Газпром газораспределение Тула"</w:t>
            </w:r>
          </w:p>
        </w:tc>
      </w:tr>
      <w:tr>
        <w:trPr>
          <w:trHeight w:val="300" w:hRule="atLeast"/>
        </w:trPr>
        <w:tc>
          <w:tcPr>
            <w:tcW w:w="4335" w:type="dxa"/>
            <w:gridSpan w:val="15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Место (адрес) поставки товаров</w:t>
            </w:r>
          </w:p>
        </w:tc>
        <w:tc>
          <w:tcPr>
            <w:tcW w:w="10115" w:type="dxa"/>
            <w:gridSpan w:val="3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301260 Тульская обл. г.Киреевск бывшая шахта №5</w:t>
            </w:r>
          </w:p>
        </w:tc>
      </w:tr>
      <w:tr>
        <w:trPr>
          <w:trHeight w:val="300" w:hRule="atLeast"/>
        </w:trPr>
        <w:tc>
          <w:tcPr>
            <w:tcW w:w="4335" w:type="dxa"/>
            <w:gridSpan w:val="15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Срок (период) поставки товаров</w:t>
            </w:r>
          </w:p>
        </w:tc>
        <w:tc>
          <w:tcPr>
            <w:tcW w:w="10115" w:type="dxa"/>
            <w:gridSpan w:val="35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От 10 до 15 календарных дней с даты заключения договора</w:t>
            </w:r>
          </w:p>
        </w:tc>
      </w:tr>
      <w:tr>
        <w:trPr>
          <w:trHeight w:val="300" w:hRule="atLeast"/>
        </w:trPr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/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9" w:type="dxa"/>
            <w:shd w:val="clear" w:color="FFFFFF" w:fill="auto"/>
            <w:textDirection w:val="lrTb"/>
            <w:vAlign w:val="bottom"/>
          </w:tcPr>
          <w:p>
            <w:pPr/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78" w:type="dxa"/>
            <w:gridSpan w:val="2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13872" w:type="dxa"/>
            <w:gridSpan w:val="48"/>
            <w:shd w:val="clear" w:color="FFFFFF" w:fill="auto"/>
            <w:textDirection w:val="lrTb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Условия проведения закупочной процедуры.</w:t>
            </w:r>
          </w:p>
        </w:tc>
      </w:tr>
      <w:tr>
        <w:trPr>
          <w:trHeight w:val="840" w:hRule="atLeast"/>
        </w:trPr>
        <w:tc>
          <w:tcPr>
            <w:tcW w:w="4624" w:type="dxa"/>
            <w:gridSpan w:val="16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327 186,54</w:t>
            </w:r>
          </w:p>
        </w:tc>
        <w:tc>
          <w:tcPr>
            <w:tcW w:w="2312" w:type="dxa"/>
            <w:vMerge w:val="restart"/>
            <w:gridSpan w:val="8"/>
            <w:shd w:val="clear" w:color="FFFFFF" w:fill="auto"/>
            <w:textDirection w:val="lrTb"/>
            <w:vAlign w:val="center"/>
            <w:tcBorders>
              <w:top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Способ закупки</w:t>
            </w:r>
          </w:p>
        </w:tc>
        <w:tc>
          <w:tcPr>
            <w:tcW w:w="4913" w:type="dxa"/>
            <w:vMerge w:val="restart"/>
            <w:gridSpan w:val="17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Открытый запрос предложений в электронной форме</w:t>
            </w:r>
          </w:p>
        </w:tc>
      </w:tr>
      <w:tr>
        <w:trPr>
          <w:trHeight w:val="300" w:hRule="atLeast"/>
        </w:trPr>
        <w:tc>
          <w:tcPr>
            <w:tcW w:w="4624" w:type="dxa"/>
            <w:gridSpan w:val="16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В том числе НДС, рублей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49 909,82</w:t>
            </w:r>
          </w:p>
        </w:tc>
        <w:tc>
          <w:tcPr>
            <w:tcW w:w="2312" w:type="dxa"/>
            <w:vMerge w:val="continue"/>
            <w:gridSpan w:val="8"/>
            <w:shd w:val="clear" w:color="FFFFFF" w:fill="auto"/>
            <w:textDirection w:val="lrTb"/>
            <w:vAlign w:val="center"/>
            <w:tcBorders>
              <w:top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Способ закупки</w:t>
            </w:r>
          </w:p>
        </w:tc>
        <w:tc>
          <w:tcPr>
            <w:tcW w:w="4913" w:type="dxa"/>
            <w:vMerge w:val="continue"/>
            <w:gridSpan w:val="17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Открытый запрос предложений в электронной форме</w:t>
            </w:r>
          </w:p>
        </w:tc>
      </w:tr>
      <w:tr>
        <w:trPr>
          <w:trHeight w:val="1380" w:hRule="atLeast"/>
        </w:trPr>
        <w:tc>
          <w:tcPr>
            <w:tcW w:w="4624" w:type="dxa"/>
            <w:gridSpan w:val="16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НДС), рублей</w:t>
            </w:r>
          </w:p>
        </w:tc>
        <w:tc>
          <w:tcPr>
            <w:tcW w:w="2601" w:type="dxa"/>
            <w:gridSpan w:val="9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277 276,72</w:t>
            </w:r>
          </w:p>
        </w:tc>
        <w:tc>
          <w:tcPr>
            <w:tcW w:w="2312" w:type="dxa"/>
            <w:vMerge w:val="continue"/>
            <w:gridSpan w:val="8"/>
            <w:shd w:val="clear" w:color="FFFFFF" w:fill="auto"/>
            <w:textDirection w:val="lrTb"/>
            <w:vAlign w:val="center"/>
            <w:tcBorders>
              <w:top w:val="single" w:sz="5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Способ закупки</w:t>
            </w:r>
          </w:p>
        </w:tc>
        <w:tc>
          <w:tcPr>
            <w:tcW w:w="4913" w:type="dxa"/>
            <w:vMerge w:val="continue"/>
            <w:gridSpan w:val="17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</w:tcBorders>
          </w:tcPr>
          <w:p>
            <w:pPr>
              <w:wordWrap w:val="1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Открытый запрос предложений в электронной форме</w:t>
            </w:r>
          </w:p>
        </w:tc>
      </w:tr>
      <w:tr>
        <w:trPr>
          <w:trHeight w:val="1110" w:hRule="atLeast"/>
        </w:trPr>
        <w:tc>
          <w:tcPr>
            <w:tcW w:w="6647" w:type="dxa"/>
            <w:gridSpan w:val="23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right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Обязательное требование к условиям оплаты товара </w:t>
            </w:r>
          </w:p>
        </w:tc>
        <w:tc>
          <w:tcPr>
            <w:tcW w:w="7803" w:type="dxa"/>
            <w:gridSpan w:val="27"/>
            <w:shd w:val="clear" w:color="FFFFFF" w:fill="auto"/>
            <w:textDirection w:val="lrTb"/>
            <w:vAlign w:val="center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wordWrap w:val="1"/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Оплата производится   по факту поставки товара путем перечисления денежных средств на расчетный счет Поставщика не позднее 30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sectPr>
      <w:pgSz w:w="16839" w:h="11907" w:orient="landscape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