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1726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05664E" w:rsidRDefault="0005664E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</w:tr>
      <w:tr w:rsidR="001726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05664E" w:rsidRDefault="0005664E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05664E" w:rsidRDefault="001726C2">
            <w:pPr>
              <w:pStyle w:val="1CStyle1"/>
            </w:pPr>
            <w:r>
              <w:t>Техническое задание по Лоту №1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05664E" w:rsidRDefault="001726C2">
            <w:pPr>
              <w:pStyle w:val="1CStyle1"/>
            </w:pPr>
            <w:r>
              <w:t>По открытому запросу предложений  в электронной форме № 110 868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05664E" w:rsidRDefault="001726C2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1726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05664E" w:rsidRDefault="0005664E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</w:tr>
      <w:tr w:rsidR="001726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05664E" w:rsidRDefault="0005664E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</w:tr>
      <w:tr w:rsidR="001726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05664E" w:rsidRDefault="0005664E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</w:tr>
      <w:tr w:rsidR="001726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05664E" w:rsidRDefault="0005664E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  <w:jc w:val="left"/>
            </w:pP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4"/>
              <w:jc w:val="left"/>
            </w:pPr>
            <w:r>
              <w:t>ОКВЭД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05664E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05664E">
            <w:pPr>
              <w:pStyle w:val="1CStyle5"/>
              <w:jc w:val="left"/>
            </w:pP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1"/>
            </w:pPr>
            <w:r>
              <w:t>Место (адрес) поставки товара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3"/>
              <w:jc w:val="left"/>
            </w:pPr>
            <w:r>
              <w:t>Прокладка  паронитовая  кольцевая ДУ32мм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4"/>
            </w:pPr>
            <w:r>
              <w:t>200,000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2"/>
            </w:pPr>
            <w:r>
              <w:t>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3"/>
              <w:jc w:val="left"/>
            </w:pPr>
            <w:r>
              <w:t>Лен сантехнический 5кг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4"/>
            </w:pPr>
            <w:r>
              <w:t>23,000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2"/>
            </w:pPr>
            <w:r>
              <w:t>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3"/>
              <w:jc w:val="left"/>
            </w:pPr>
            <w:r>
              <w:t xml:space="preserve">Прокладка  паронитовая  </w:t>
            </w:r>
            <w:r>
              <w:t>кольцевая ДУ20мм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4"/>
            </w:pPr>
            <w:r>
              <w:t>205,000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05664E" w:rsidRDefault="001726C2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7"/>
              <w:jc w:val="left"/>
            </w:pPr>
            <w:r>
              <w:t>Ру: 1-4  МПа, под накидную гайку G3/4.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2"/>
            </w:pPr>
            <w:r>
              <w:t>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3"/>
              <w:jc w:val="left"/>
            </w:pPr>
            <w:r>
              <w:t>Прокладка  паронитовая  кольцевая ДУ15мм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4"/>
            </w:pPr>
            <w:r>
              <w:t>10 000,000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05664E" w:rsidRDefault="001726C2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7"/>
              <w:jc w:val="left"/>
            </w:pPr>
            <w:r>
              <w:t>Ру: 1-4  МПа, под накидную гайку G1/2.</w:t>
            </w:r>
            <w:r>
              <w:br/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2"/>
            </w:pPr>
            <w:r>
              <w:t>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3"/>
              <w:jc w:val="left"/>
            </w:pPr>
            <w:r>
              <w:t>Лен сантехнический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4"/>
            </w:pPr>
            <w:r>
              <w:t>31,000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3"/>
              <w:jc w:val="left"/>
            </w:pPr>
            <w:r>
              <w:t xml:space="preserve">АО "Газпром газораспределение </w:t>
            </w:r>
            <w:r>
              <w:t>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05664E" w:rsidRDefault="001726C2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7"/>
              <w:jc w:val="left"/>
            </w:pPr>
            <w:r>
              <w:t>Рабочая температура - до 160 градусов С. Упаковки по 100 грамм.</w:t>
            </w:r>
          </w:p>
        </w:tc>
      </w:tr>
      <w:tr w:rsidR="001726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664E" w:rsidRDefault="001726C2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664E" w:rsidRDefault="001726C2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664E" w:rsidRDefault="001726C2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664E" w:rsidRDefault="001726C2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664E" w:rsidRDefault="001726C2">
            <w:pPr>
              <w:pStyle w:val="1CStyle21"/>
            </w:pPr>
            <w:r>
              <w:t>Обязательное требование к сроку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2"/>
              <w:jc w:val="left"/>
            </w:pPr>
            <w:r>
              <w:t xml:space="preserve">Строго в </w:t>
            </w:r>
            <w:r>
              <w:t>соответствии с графиком поставки товара:</w:t>
            </w:r>
          </w:p>
        </w:tc>
      </w:tr>
      <w:tr w:rsidR="001726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664E" w:rsidRDefault="001726C2">
            <w:pPr>
              <w:pStyle w:val="1CStyle19"/>
            </w:pPr>
            <w:r>
              <w:t>2.1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664E" w:rsidRDefault="001726C2">
            <w:pPr>
              <w:pStyle w:val="1CStyle23"/>
              <w:jc w:val="left"/>
            </w:pPr>
            <w:r>
              <w:t>График поставки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7"/>
            </w:pPr>
            <w:r>
              <w:t>Наименование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2"/>
            </w:pPr>
            <w:r>
              <w:t>Срок поставки товара на склад грузополучателя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11"/>
            </w:pPr>
            <w:r>
              <w:t>Место (адрес) поставки товара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4"/>
            </w:pPr>
            <w:r>
              <w:t>1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5"/>
              <w:jc w:val="left"/>
            </w:pPr>
            <w:r>
              <w:t>Прокладка  паронитовая  кольцевая ДУ32мм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6"/>
            </w:pPr>
            <w:r>
              <w:t>15.03.2017 -24.03.2017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7"/>
            </w:pPr>
            <w:r>
              <w:t>200,000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5"/>
              <w:jc w:val="left"/>
            </w:pPr>
            <w:r>
              <w:t xml:space="preserve">301260 </w:t>
            </w:r>
            <w:r>
              <w:t>Тульская обл. г.Киреевск бывшая шахта №5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4"/>
            </w:pPr>
            <w:r>
              <w:t>2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5"/>
              <w:jc w:val="left"/>
            </w:pPr>
            <w:r>
              <w:t>Лен сантехнический 5кг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6"/>
            </w:pPr>
            <w:r>
              <w:t>15.03.2017 -24.03.2017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7"/>
            </w:pPr>
            <w:r>
              <w:t>23,000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4"/>
            </w:pPr>
            <w:r>
              <w:t>3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5"/>
              <w:jc w:val="left"/>
            </w:pPr>
            <w:r>
              <w:t>Прокладка  паронитовая  кольцевая ДУ20мм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6"/>
            </w:pPr>
            <w:r>
              <w:t>15.03.2017 -24.03.2017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7"/>
            </w:pPr>
            <w:r>
              <w:t>205,000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5"/>
              <w:jc w:val="left"/>
            </w:pPr>
            <w:r>
              <w:t xml:space="preserve">301260 Тульская обл. </w:t>
            </w:r>
            <w:r>
              <w:t>г.Киреевск бывшая шахта №5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4"/>
            </w:pPr>
            <w:r>
              <w:t>4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5"/>
              <w:jc w:val="left"/>
            </w:pPr>
            <w:r>
              <w:t>Прокладка  паронитовая  кольцевая ДУ15мм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6"/>
            </w:pPr>
            <w:r>
              <w:t>15.03.2017 -24.03.2017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7"/>
            </w:pPr>
            <w:r>
              <w:t>10 000,000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4"/>
            </w:pPr>
            <w:r>
              <w:t>5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5"/>
              <w:jc w:val="left"/>
            </w:pPr>
            <w:r>
              <w:t>Лен сантехнический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6"/>
            </w:pPr>
            <w:r>
              <w:t>15.03.2017 -24.03.2017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7"/>
            </w:pPr>
            <w:r>
              <w:t>31,000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5"/>
              <w:jc w:val="left"/>
            </w:pPr>
            <w:r>
              <w:t xml:space="preserve">301260 Тульская обл. г.Киреевск бывшая </w:t>
            </w:r>
            <w:r>
              <w:t>шахта №5</w:t>
            </w:r>
          </w:p>
        </w:tc>
      </w:tr>
      <w:tr w:rsidR="001726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05664E" w:rsidRDefault="0005664E">
            <w:pPr>
              <w:pStyle w:val="1CStyle0"/>
            </w:pP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664E" w:rsidRDefault="001726C2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05664E" w:rsidRDefault="001726C2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9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30"/>
            </w:pPr>
            <w:r>
              <w:t>37 387,60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31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32"/>
            </w:pPr>
            <w:r>
              <w:t>Открытый запрос предложений в электронной форме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9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30"/>
            </w:pPr>
            <w:r>
              <w:t>5 703,19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31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32"/>
            </w:pPr>
            <w:r>
              <w:t>Открытый запрос предложений в электронной форме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9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33"/>
            </w:pPr>
            <w:r>
              <w:t>31 684,41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31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32"/>
            </w:pPr>
            <w:r>
              <w:t>Открытый запрос предложений в электронной форме</w:t>
            </w:r>
          </w:p>
        </w:tc>
      </w:tr>
      <w:tr w:rsidR="00056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34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64E" w:rsidRDefault="001726C2">
            <w:pPr>
              <w:pStyle w:val="1CStyle22"/>
              <w:jc w:val="left"/>
            </w:pPr>
            <w:r>
              <w:t>Оплата товара в течении 30 календарных дней после поставки.</w:t>
            </w:r>
          </w:p>
        </w:tc>
      </w:tr>
    </w:tbl>
    <w:p w:rsidR="00000000" w:rsidRDefault="001726C2"/>
    <w:sectPr w:rsidR="00000000" w:rsidSect="001726C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664E"/>
    <w:rsid w:val="0005664E"/>
    <w:rsid w:val="0017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31">
    <w:name w:val="1CStyle31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9">
    <w:name w:val="1CStyle29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  <w:sz w:val="20"/>
    </w:rPr>
  </w:style>
  <w:style w:type="paragraph" w:customStyle="1" w:styleId="1CStyle32">
    <w:name w:val="1CStyle32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  <w:sz w:val="20"/>
    </w:rPr>
  </w:style>
  <w:style w:type="paragraph" w:customStyle="1" w:styleId="1CStyle28">
    <w:name w:val="1CStyle28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34">
    <w:name w:val="1CStyle34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30">
    <w:name w:val="1CStyle30"/>
    <w:pPr>
      <w:jc w:val="center"/>
    </w:pPr>
    <w:rPr>
      <w:rFonts w:ascii="Times New Roman" w:hAnsi="Times New Roman"/>
    </w:rPr>
  </w:style>
  <w:style w:type="paragraph" w:customStyle="1" w:styleId="1CStyle33">
    <w:name w:val="1CStyle33"/>
    <w:pPr>
      <w:jc w:val="center"/>
    </w:pPr>
    <w:rPr>
      <w:rFonts w:ascii="Times New Roman" w:hAnsi="Times New Roman"/>
    </w:rPr>
  </w:style>
  <w:style w:type="paragraph" w:customStyle="1" w:styleId="1CStyle27">
    <w:name w:val="1CStyle27"/>
    <w:pPr>
      <w:jc w:val="right"/>
    </w:pPr>
    <w:rPr>
      <w:rFonts w:ascii="Times New Roman" w:hAnsi="Times New Roman"/>
      <w:sz w:val="20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2930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2017-01-25T09:44:00Z</dcterms:created>
  <dcterms:modified xsi:type="dcterms:W3CDTF">2017-01-25T09:44:00Z</dcterms:modified>
</cp:coreProperties>
</file>