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1132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E00FB0" w:rsidRDefault="00E00FB0">
            <w:pPr>
              <w:pStyle w:val="1CStyle-1"/>
              <w:jc w:val="left"/>
            </w:pPr>
            <w:bookmarkStart w:id="0" w:name="_GoBack"/>
            <w:bookmarkEnd w:id="0"/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</w:tr>
      <w:tr w:rsidR="001132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E00FB0" w:rsidRDefault="00E00FB0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</w:tr>
      <w:tr w:rsidR="00E00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E00FB0" w:rsidRDefault="00113260">
            <w:pPr>
              <w:pStyle w:val="1CStyle1"/>
            </w:pPr>
            <w:r>
              <w:t>Техническое задание по Лоту №1</w:t>
            </w:r>
          </w:p>
        </w:tc>
      </w:tr>
      <w:tr w:rsidR="00E00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E00FB0" w:rsidRDefault="00113260">
            <w:pPr>
              <w:pStyle w:val="1CStyle1"/>
            </w:pPr>
            <w:r>
              <w:t>По открытому запросу предложений  в электронной форме № 110 401</w:t>
            </w:r>
          </w:p>
        </w:tc>
      </w:tr>
      <w:tr w:rsidR="00E00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E00FB0" w:rsidRDefault="00113260">
            <w:pPr>
              <w:pStyle w:val="1CStyle1"/>
            </w:pPr>
            <w:r>
              <w:t>Для нужд: АО "Газпром газораспределение Тула"</w:t>
            </w:r>
          </w:p>
        </w:tc>
      </w:tr>
      <w:tr w:rsidR="001132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E00FB0" w:rsidRDefault="00E00FB0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</w:tr>
      <w:tr w:rsidR="001132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E00FB0" w:rsidRDefault="00E00FB0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</w:tr>
      <w:tr w:rsidR="001132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E00FB0" w:rsidRDefault="00E00FB0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</w:tr>
      <w:tr w:rsidR="001132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E00FB0" w:rsidRDefault="00E00FB0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  <w:jc w:val="left"/>
            </w:pPr>
          </w:p>
        </w:tc>
      </w:tr>
      <w:tr w:rsidR="00E00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4"/>
              <w:jc w:val="left"/>
            </w:pPr>
            <w:r>
              <w:t>ОКДП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4"/>
              <w:jc w:val="left"/>
            </w:pPr>
            <w:r>
              <w:t>ОКВЭД</w:t>
            </w:r>
          </w:p>
        </w:tc>
      </w:tr>
      <w:tr w:rsidR="00E00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E00FB0">
            <w:pPr>
              <w:pStyle w:val="1CStyle5"/>
              <w:jc w:val="left"/>
            </w:pP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E00FB0">
            <w:pPr>
              <w:pStyle w:val="1CStyle5"/>
              <w:jc w:val="left"/>
            </w:pPr>
          </w:p>
        </w:tc>
      </w:tr>
      <w:tr w:rsidR="00E00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6"/>
            </w:pPr>
            <w:r>
              <w:t>№</w:t>
            </w:r>
            <w:r>
              <w:br/>
              <w:t>п/п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7"/>
            </w:pPr>
            <w:r>
              <w:t>Наименование предмета закупки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8"/>
            </w:pPr>
            <w:r>
              <w:t>Ед.</w:t>
            </w:r>
            <w:r>
              <w:br/>
              <w:t>изм.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9"/>
            </w:pPr>
            <w:r>
              <w:t>Колич</w:t>
            </w:r>
            <w:r>
              <w:br/>
              <w:t>ество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9"/>
            </w:pPr>
            <w:r>
              <w:t>Допустимость аналога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10"/>
            </w:pPr>
            <w:r>
              <w:t>Грузополучатель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11"/>
            </w:pPr>
            <w:r>
              <w:t>Место (адрес) поставки товара</w:t>
            </w:r>
          </w:p>
        </w:tc>
      </w:tr>
      <w:tr w:rsidR="00E00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12"/>
            </w:pPr>
            <w:r>
              <w:t>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13"/>
              <w:jc w:val="left"/>
            </w:pPr>
            <w:r>
              <w:t>Кран шаровый полиэтиленовый Frialen ПЭ100 SDR11</w:t>
            </w:r>
            <w:r>
              <w:t xml:space="preserve"> ДУ63 полный проход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14"/>
            </w:pPr>
            <w:r>
              <w:t>23,000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E00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E00FB0" w:rsidRDefault="00113260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17"/>
              <w:jc w:val="left"/>
            </w:pPr>
            <w:r>
              <w:t xml:space="preserve">Кран шаровой КН ¼ оборота без сужения условного прохода d63мм «Friatec AG»   Шаровый кран </w:t>
            </w:r>
            <w:r>
              <w:t>из ПНД ПЭ100 SDR11 D63 без сужения условного прохода</w:t>
            </w:r>
            <w:r>
              <w:br/>
              <w:t>Кран полностью выполнен методом сварки из ПНД длиной не менее 411 мм без использования каких-либо переходников на иные материалы или фланцевые соединения. На тело фитинга должна быть нанесена информацион</w:t>
            </w:r>
            <w:r>
              <w:t>ная наклейка, содержащая: штрих-код обратного отслеживания. Проход крана соответствует внутреннему диаметру трубы. Открытое и закрытое положение определяются упорами. Плавающий запорный шар. Двойное аксиальное и радиальное уплотнение в шаровой оси. Нет опо</w:t>
            </w:r>
            <w:r>
              <w:t>ры во внутренней плоскости. Длина патрубков рассчитана на две сварки.  Запорный кран, не требующий технического обслуживания и управляется с помощью штанги.</w:t>
            </w:r>
            <w:r>
              <w:br/>
              <w:t>Наружный квадрат SW1 - 50х50; внутренний квадрат SW2 - 25; t - 126; B - 206; L - 411; Масса - 2,415</w:t>
            </w:r>
            <w:r>
              <w:t xml:space="preserve"> кг.</w:t>
            </w:r>
            <w:r>
              <w:br/>
            </w:r>
          </w:p>
        </w:tc>
      </w:tr>
      <w:tr w:rsidR="00E00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12"/>
            </w:pPr>
            <w:r>
              <w:t>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13"/>
              <w:jc w:val="left"/>
            </w:pPr>
            <w:r>
              <w:t>Удлинитель телескопический BS для шаровых полиэтиленовых кранов L1.2-2м d63-225 Frialen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14"/>
            </w:pPr>
            <w:r>
              <w:t>17,000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E00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E00FB0" w:rsidRDefault="00113260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17"/>
              <w:jc w:val="left"/>
            </w:pPr>
            <w:r>
              <w:t xml:space="preserve">Монтажный </w:t>
            </w:r>
            <w:r>
              <w:t>набор d 63-225/1,2-2,0м «Friatec AG» Монтажный набор –телескопический удлинитель для шаровых кранов KH, KHP  и арматуры AKHP</w:t>
            </w:r>
            <w:r>
              <w:br/>
              <w:t>Телескопическая приводная штанга с диапазоном глубины заложения (расстояние от верхнего уровня распределительного газопровода до ни</w:t>
            </w:r>
            <w:r>
              <w:t>жнего края ковера)  1.20-2.0  для шаровых кранов.</w:t>
            </w:r>
            <w:r>
              <w:br/>
              <w:t>Штанга имеет бесступенчатую установку по высоте и в смонтированном состоянии. Материал штока горячеоцинкованная</w:t>
            </w:r>
            <w:r>
              <w:br/>
              <w:t>гальванизированная сталь. Защитный чехол – ПЭ. Конструктивно предусмотрено предохранение от са</w:t>
            </w:r>
            <w:r>
              <w:t>мопроизвольного и избыточного выдвижения. Штанга самофиксирующаяся при любом положении вытяжения.</w:t>
            </w:r>
            <w:r>
              <w:br/>
            </w:r>
          </w:p>
        </w:tc>
      </w:tr>
      <w:tr w:rsidR="001132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</w:tr>
      <w:tr w:rsidR="00E00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00FB0" w:rsidRDefault="00113260">
            <w:pPr>
              <w:pStyle w:val="1CStyle19"/>
            </w:pPr>
            <w:r>
              <w:t>2.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00FB0" w:rsidRDefault="00113260">
            <w:pPr>
              <w:pStyle w:val="1CStyle20"/>
              <w:jc w:val="left"/>
            </w:pPr>
            <w:r>
              <w:t>Условия поставки товаров</w:t>
            </w:r>
          </w:p>
        </w:tc>
      </w:tr>
      <w:tr w:rsidR="00E00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00FB0" w:rsidRDefault="00113260">
            <w:pPr>
              <w:pStyle w:val="1CStyle21"/>
            </w:pPr>
            <w:r>
              <w:t>Грузополучатель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5"/>
              <w:jc w:val="left"/>
            </w:pPr>
            <w:r>
              <w:t>АО "Газпром газораспределение Тула"</w:t>
            </w:r>
          </w:p>
        </w:tc>
      </w:tr>
      <w:tr w:rsidR="00E00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00FB0" w:rsidRDefault="00113260">
            <w:pPr>
              <w:pStyle w:val="1CStyle21"/>
            </w:pPr>
            <w:r>
              <w:t>Место (адрес)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22"/>
              <w:jc w:val="left"/>
            </w:pPr>
            <w:r>
              <w:t>301260 Тульская обл. г.Киреевск бывшая шахта №5</w:t>
            </w:r>
          </w:p>
        </w:tc>
      </w:tr>
      <w:tr w:rsidR="00E00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00FB0" w:rsidRDefault="00113260">
            <w:pPr>
              <w:pStyle w:val="1CStyle21"/>
            </w:pPr>
            <w:r>
              <w:t>Срок (период)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22"/>
              <w:jc w:val="left"/>
            </w:pPr>
            <w:r>
              <w:t xml:space="preserve">От 10 до 20 календарных дней с даты </w:t>
            </w:r>
            <w:r>
              <w:t>заключения договора</w:t>
            </w:r>
          </w:p>
        </w:tc>
      </w:tr>
      <w:tr w:rsidR="001132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E00FB0" w:rsidRDefault="00E00FB0">
            <w:pPr>
              <w:pStyle w:val="1CStyle0"/>
            </w:pPr>
          </w:p>
        </w:tc>
      </w:tr>
      <w:tr w:rsidR="00E00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00FB0" w:rsidRDefault="00113260">
            <w:pPr>
              <w:pStyle w:val="1CStyle19"/>
            </w:pPr>
            <w:r>
              <w:t>3.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00FB0" w:rsidRDefault="00113260">
            <w:pPr>
              <w:pStyle w:val="1CStyle23"/>
              <w:jc w:val="left"/>
            </w:pPr>
            <w:r>
              <w:t>Условия проведения закупочной процедуры.</w:t>
            </w:r>
          </w:p>
        </w:tc>
      </w:tr>
      <w:tr w:rsidR="00E00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24"/>
              <w:jc w:val="left"/>
            </w:pPr>
            <w:r>
              <w:t>Начальная (максимальная)  цена предмета закупки для участников, не освобожденных от уплаты НДС (с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25"/>
            </w:pPr>
            <w:r>
              <w:t>515 406,70</w:t>
            </w:r>
          </w:p>
        </w:tc>
        <w:tc>
          <w:tcPr>
            <w:tcW w:w="2312" w:type="dxa"/>
            <w:gridSpan w:val="8"/>
            <w:vMerge w:val="restart"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26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27"/>
            </w:pPr>
            <w:r>
              <w:t>Открытый запрос предложений в электронной форме</w:t>
            </w:r>
          </w:p>
        </w:tc>
      </w:tr>
      <w:tr w:rsidR="00E00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24"/>
              <w:jc w:val="left"/>
            </w:pPr>
            <w:r>
              <w:t>В том числе НДС,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25"/>
            </w:pPr>
            <w:r>
              <w:t>78 621,36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26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27"/>
            </w:pPr>
            <w:r>
              <w:t>Открытый запрос предложений в электронной форме</w:t>
            </w:r>
          </w:p>
        </w:tc>
      </w:tr>
      <w:tr w:rsidR="00E00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24"/>
              <w:jc w:val="left"/>
            </w:pPr>
            <w:r>
              <w:t xml:space="preserve"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</w:t>
            </w:r>
            <w:r>
              <w:t>(без 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28"/>
            </w:pPr>
            <w:r>
              <w:t>436 785,34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26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27"/>
            </w:pPr>
            <w:r>
              <w:t>Открытый запрос предложений в электронной форме</w:t>
            </w:r>
          </w:p>
        </w:tc>
      </w:tr>
      <w:tr w:rsidR="00E00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47" w:type="dxa"/>
            <w:gridSpan w:val="2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29"/>
            </w:pPr>
            <w:r>
              <w:t>Обязательное требование к условиям оплаты товара</w:t>
            </w:r>
          </w:p>
        </w:tc>
        <w:tc>
          <w:tcPr>
            <w:tcW w:w="7803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0FB0" w:rsidRDefault="00113260">
            <w:pPr>
              <w:pStyle w:val="1CStyle22"/>
              <w:jc w:val="left"/>
            </w:pPr>
            <w:r>
              <w:t>Оплата товара в течении 30 календарных дней после поставки.</w:t>
            </w:r>
          </w:p>
        </w:tc>
      </w:tr>
    </w:tbl>
    <w:p w:rsidR="00000000" w:rsidRDefault="00113260"/>
    <w:sectPr w:rsidR="00000000" w:rsidSect="0011326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0FB0"/>
    <w:rsid w:val="00113260"/>
    <w:rsid w:val="00E0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pPr>
      <w:jc w:val="center"/>
    </w:pPr>
    <w:rPr>
      <w:rFonts w:ascii="Times New Roman" w:hAnsi="Times New Roman"/>
    </w:rPr>
  </w:style>
  <w:style w:type="paragraph" w:customStyle="1" w:styleId="1CStyle18">
    <w:name w:val="1CStyle18"/>
    <w:pPr>
      <w:jc w:val="center"/>
    </w:pPr>
    <w:rPr>
      <w:rFonts w:ascii="Times New Roman" w:hAnsi="Times New Roman"/>
    </w:rPr>
  </w:style>
  <w:style w:type="paragraph" w:customStyle="1" w:styleId="1CStyle23">
    <w:name w:val="1CStyle23"/>
    <w:pPr>
      <w:jc w:val="center"/>
    </w:pPr>
    <w:rPr>
      <w:rFonts w:ascii="Times New Roman" w:hAnsi="Times New Roman"/>
      <w:b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8"/>
    </w:rPr>
  </w:style>
  <w:style w:type="paragraph" w:customStyle="1" w:styleId="1CStyle19">
    <w:name w:val="1CStyle19"/>
    <w:pPr>
      <w:jc w:val="center"/>
    </w:pPr>
    <w:rPr>
      <w:rFonts w:ascii="Times New Roman" w:hAnsi="Times New Roman"/>
      <w:b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</w:rPr>
  </w:style>
  <w:style w:type="paragraph" w:customStyle="1" w:styleId="1CStyle5">
    <w:name w:val="1CStyle5"/>
    <w:pPr>
      <w:jc w:val="center"/>
    </w:pPr>
    <w:rPr>
      <w:rFonts w:ascii="Times New Roman" w:hAnsi="Times New Roman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</w:rPr>
  </w:style>
  <w:style w:type="paragraph" w:customStyle="1" w:styleId="1CStyle26">
    <w:name w:val="1CStyle26"/>
    <w:pPr>
      <w:jc w:val="center"/>
    </w:pPr>
    <w:rPr>
      <w:rFonts w:ascii="Times New Roman" w:hAnsi="Times New Roman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</w:rPr>
  </w:style>
  <w:style w:type="paragraph" w:customStyle="1" w:styleId="1CStyle6">
    <w:name w:val="1CStyle6"/>
    <w:pPr>
      <w:jc w:val="center"/>
    </w:pPr>
    <w:rPr>
      <w:rFonts w:ascii="Times New Roman" w:hAnsi="Times New Roman"/>
      <w:sz w:val="20"/>
    </w:rPr>
  </w:style>
  <w:style w:type="paragraph" w:customStyle="1" w:styleId="1CStyle8">
    <w:name w:val="1CStyle8"/>
    <w:pPr>
      <w:jc w:val="center"/>
    </w:pPr>
    <w:rPr>
      <w:rFonts w:ascii="Times New Roman" w:hAnsi="Times New Roman"/>
      <w:sz w:val="20"/>
    </w:rPr>
  </w:style>
  <w:style w:type="paragraph" w:customStyle="1" w:styleId="1CStyle21">
    <w:name w:val="1CStyle21"/>
    <w:pPr>
      <w:jc w:val="right"/>
    </w:pPr>
    <w:rPr>
      <w:rFonts w:ascii="Times New Roman" w:hAnsi="Times New Roman"/>
    </w:rPr>
  </w:style>
  <w:style w:type="paragraph" w:customStyle="1" w:styleId="1CStyle-1">
    <w:name w:val="1CStyle-1"/>
    <w:pPr>
      <w:jc w:val="center"/>
    </w:pPr>
    <w:rPr>
      <w:rFonts w:ascii="Times New Roman" w:hAnsi="Times New Roman"/>
    </w:rPr>
  </w:style>
  <w:style w:type="paragraph" w:customStyle="1" w:styleId="1CStyle24">
    <w:name w:val="1CStyle24"/>
    <w:pPr>
      <w:jc w:val="center"/>
    </w:pPr>
    <w:rPr>
      <w:rFonts w:ascii="Times New Roman" w:hAnsi="Times New Roman"/>
    </w:rPr>
  </w:style>
  <w:style w:type="paragraph" w:customStyle="1" w:styleId="1CStyle22">
    <w:name w:val="1CStyle22"/>
    <w:pPr>
      <w:jc w:val="center"/>
    </w:pPr>
    <w:rPr>
      <w:rFonts w:ascii="Times New Roman" w:hAnsi="Times New Roman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0"/>
    </w:rPr>
  </w:style>
  <w:style w:type="paragraph" w:customStyle="1" w:styleId="1CStyle27">
    <w:name w:val="1CStyle27"/>
    <w:pPr>
      <w:jc w:val="center"/>
    </w:pPr>
    <w:rPr>
      <w:rFonts w:ascii="Times New Roman" w:hAnsi="Times New Roman"/>
    </w:rPr>
  </w:style>
  <w:style w:type="paragraph" w:customStyle="1" w:styleId="1CStyle7">
    <w:name w:val="1CStyle7"/>
    <w:pPr>
      <w:jc w:val="center"/>
    </w:pPr>
    <w:rPr>
      <w:rFonts w:ascii="Times New Roman" w:hAnsi="Times New Roman"/>
      <w:sz w:val="20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0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sz w:val="20"/>
    </w:rPr>
  </w:style>
  <w:style w:type="paragraph" w:customStyle="1" w:styleId="1CStyle20">
    <w:name w:val="1CStyle20"/>
    <w:pPr>
      <w:jc w:val="center"/>
    </w:pPr>
    <w:rPr>
      <w:rFonts w:ascii="Times New Roman" w:hAnsi="Times New Roman"/>
      <w:b/>
    </w:rPr>
  </w:style>
  <w:style w:type="paragraph" w:customStyle="1" w:styleId="1CStyle10">
    <w:name w:val="1CStyle10"/>
    <w:pPr>
      <w:jc w:val="center"/>
    </w:pPr>
    <w:rPr>
      <w:rFonts w:ascii="Times New Roman" w:hAnsi="Times New Roman"/>
      <w:sz w:val="20"/>
    </w:rPr>
  </w:style>
  <w:style w:type="paragraph" w:customStyle="1" w:styleId="1CStyle29">
    <w:name w:val="1CStyle29"/>
    <w:pPr>
      <w:jc w:val="right"/>
    </w:pPr>
    <w:rPr>
      <w:rFonts w:ascii="Times New Roman" w:hAnsi="Times New Roman"/>
      <w:b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0"/>
    </w:rPr>
  </w:style>
  <w:style w:type="paragraph" w:customStyle="1" w:styleId="1CStyle14">
    <w:name w:val="1CStyle14"/>
    <w:pPr>
      <w:jc w:val="right"/>
    </w:pPr>
    <w:rPr>
      <w:rFonts w:ascii="Times New Roman" w:hAnsi="Times New Roman"/>
      <w:sz w:val="20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0"/>
    </w:rPr>
  </w:style>
  <w:style w:type="paragraph" w:customStyle="1" w:styleId="1CStyle25">
    <w:name w:val="1CStyle25"/>
    <w:pPr>
      <w:jc w:val="center"/>
    </w:pPr>
    <w:rPr>
      <w:rFonts w:ascii="Times New Roman" w:hAnsi="Times New Roman"/>
    </w:rPr>
  </w:style>
  <w:style w:type="paragraph" w:customStyle="1" w:styleId="1CStyle28">
    <w:name w:val="1CStyle28"/>
    <w:pPr>
      <w:jc w:val="center"/>
    </w:pPr>
    <w:rPr>
      <w:rFonts w:ascii="Times New Roman" w:hAnsi="Times New Roman"/>
    </w:rPr>
  </w:style>
  <w:style w:type="paragraph" w:customStyle="1" w:styleId="1CStyle17">
    <w:name w:val="1CStyle17"/>
    <w:pPr>
      <w:ind w:left="20"/>
      <w:jc w:val="center"/>
    </w:pPr>
    <w:rPr>
      <w:rFonts w:ascii="Times New Roman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538</Words>
  <Characters>3071</Characters>
  <Application>Microsoft Office Word</Application>
  <DocSecurity>0</DocSecurity>
  <Lines>25</Lines>
  <Paragraphs>7</Paragraphs>
  <ScaleCrop>false</ScaleCrop>
  <Company>Hewlett-Packard Company</Company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Александрович Косенков</cp:lastModifiedBy>
  <cp:revision>2</cp:revision>
  <dcterms:created xsi:type="dcterms:W3CDTF">2017-01-18T06:15:00Z</dcterms:created>
  <dcterms:modified xsi:type="dcterms:W3CDTF">2017-01-18T06:15:00Z</dcterms:modified>
</cp:coreProperties>
</file>