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1A5B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913179" w:rsidRDefault="00913179">
            <w:pPr>
              <w:pStyle w:val="1CStyle-1"/>
              <w:jc w:val="left"/>
            </w:pPr>
            <w:bookmarkStart w:id="0" w:name="_GoBack"/>
            <w:bookmarkEnd w:id="0"/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</w:tr>
      <w:tr w:rsidR="001A5B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913179" w:rsidRDefault="00913179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</w:tr>
      <w:tr w:rsidR="009131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913179" w:rsidRDefault="001A5B90">
            <w:pPr>
              <w:pStyle w:val="1CStyle1"/>
            </w:pPr>
            <w:r>
              <w:t>Техническое задание по Лоту №1</w:t>
            </w:r>
          </w:p>
        </w:tc>
      </w:tr>
      <w:tr w:rsidR="009131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913179" w:rsidRDefault="001A5B90">
            <w:pPr>
              <w:pStyle w:val="1CStyle1"/>
            </w:pPr>
            <w:r>
              <w:t>По открытому запросу предложений  в электронной форме № 110 344</w:t>
            </w:r>
          </w:p>
        </w:tc>
      </w:tr>
      <w:tr w:rsidR="009131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913179" w:rsidRDefault="001A5B90">
            <w:pPr>
              <w:pStyle w:val="1CStyle1"/>
            </w:pPr>
            <w:r>
              <w:t>Для нужд: АО "Газпром газораспределение Тула"</w:t>
            </w:r>
          </w:p>
        </w:tc>
      </w:tr>
      <w:tr w:rsidR="001A5B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913179" w:rsidRDefault="00913179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</w:tr>
      <w:tr w:rsidR="001A5B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913179" w:rsidRDefault="00913179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</w:tr>
      <w:tr w:rsidR="001A5B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913179" w:rsidRDefault="00913179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</w:tr>
      <w:tr w:rsidR="001A5B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913179" w:rsidRDefault="00913179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  <w:jc w:val="left"/>
            </w:pPr>
          </w:p>
        </w:tc>
      </w:tr>
      <w:tr w:rsidR="009131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4"/>
              <w:jc w:val="left"/>
            </w:pPr>
            <w:r>
              <w:t>ОКДП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4"/>
              <w:jc w:val="left"/>
            </w:pPr>
            <w:r>
              <w:t>ОКВЭД</w:t>
            </w:r>
          </w:p>
        </w:tc>
      </w:tr>
      <w:tr w:rsidR="009131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3179" w:rsidRDefault="00913179">
            <w:pPr>
              <w:pStyle w:val="1CStyle5"/>
              <w:jc w:val="left"/>
            </w:pP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3179" w:rsidRDefault="00913179">
            <w:pPr>
              <w:pStyle w:val="1CStyle5"/>
              <w:jc w:val="left"/>
            </w:pPr>
          </w:p>
        </w:tc>
      </w:tr>
      <w:tr w:rsidR="009131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6"/>
            </w:pPr>
            <w:r>
              <w:t>№</w:t>
            </w:r>
            <w:r>
              <w:br/>
              <w:t>п/п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7"/>
            </w:pPr>
            <w:r>
              <w:t>Наименование предмета закупки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8"/>
            </w:pPr>
            <w:r>
              <w:t>Ед.</w:t>
            </w:r>
            <w:r>
              <w:br/>
              <w:t>изм.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9"/>
            </w:pPr>
            <w:r>
              <w:t>Колич</w:t>
            </w:r>
            <w:r>
              <w:br/>
              <w:t>ество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9"/>
            </w:pPr>
            <w:r>
              <w:t>Допустимость аналога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10"/>
            </w:pPr>
            <w:r>
              <w:t>Грузополучатель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11"/>
            </w:pPr>
            <w:r>
              <w:t>Место (адрес) поставки товара</w:t>
            </w:r>
          </w:p>
        </w:tc>
      </w:tr>
      <w:tr w:rsidR="009131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12"/>
            </w:pPr>
            <w:r>
              <w:t>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13"/>
              <w:jc w:val="left"/>
            </w:pPr>
            <w:r>
              <w:t xml:space="preserve">Устройство для врезки в газовые магистрали </w:t>
            </w:r>
            <w:r>
              <w:t>(Редуктор Баринова)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9131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913179" w:rsidRDefault="001A5B90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17"/>
              <w:jc w:val="left"/>
            </w:pPr>
            <w:r>
              <w:t xml:space="preserve">Устройство для врезки в газовые магистрали (Редуктор Баринова) используются для устройства </w:t>
            </w:r>
            <w:r>
              <w:t>отводов от газовых магистралей из стальных труб, находящихся под давлением, фрезами для врезки диаметром 32, 50, 80 и 100, 120, 150 мм. (по 1 единице каждого диаметра)</w:t>
            </w:r>
            <w:r>
              <w:br/>
              <w:t>Вес редуктора не превышает 18 кг.</w:t>
            </w:r>
            <w:r>
              <w:br/>
              <w:t>В состав устройства входит: двухскоростной редуктор, р</w:t>
            </w:r>
            <w:r>
              <w:t>ычаг, ключи и фрезы.</w:t>
            </w:r>
          </w:p>
        </w:tc>
      </w:tr>
      <w:tr w:rsidR="001A5B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</w:tr>
      <w:tr w:rsidR="009131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13179" w:rsidRDefault="001A5B90">
            <w:pPr>
              <w:pStyle w:val="1CStyle19"/>
            </w:pPr>
            <w:r>
              <w:t>2.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13179" w:rsidRDefault="001A5B90">
            <w:pPr>
              <w:pStyle w:val="1CStyle20"/>
              <w:jc w:val="left"/>
            </w:pPr>
            <w:r>
              <w:t>Условия поставки товаров</w:t>
            </w:r>
          </w:p>
        </w:tc>
      </w:tr>
      <w:tr w:rsidR="009131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13179" w:rsidRDefault="001A5B90">
            <w:pPr>
              <w:pStyle w:val="1CStyle21"/>
            </w:pPr>
            <w:r>
              <w:t>Грузополучатель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5"/>
              <w:jc w:val="left"/>
            </w:pPr>
            <w:r>
              <w:t>АО "Газпром газораспределение Тула"</w:t>
            </w:r>
          </w:p>
        </w:tc>
      </w:tr>
      <w:tr w:rsidR="009131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13179" w:rsidRDefault="001A5B90">
            <w:pPr>
              <w:pStyle w:val="1CStyle21"/>
            </w:pPr>
            <w:r>
              <w:t>Место (адрес)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22"/>
              <w:jc w:val="left"/>
            </w:pPr>
            <w:r>
              <w:t>301260 Тульская обл. г.Киреевск бывшая шахта №5</w:t>
            </w:r>
          </w:p>
        </w:tc>
      </w:tr>
      <w:tr w:rsidR="009131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13179" w:rsidRDefault="001A5B90">
            <w:pPr>
              <w:pStyle w:val="1CStyle21"/>
            </w:pPr>
            <w:r>
              <w:t>Срок (период)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22"/>
              <w:jc w:val="left"/>
            </w:pPr>
            <w:r>
              <w:t xml:space="preserve">От 20 до 25 календарных дней с даты </w:t>
            </w:r>
            <w:r>
              <w:t>заключения договора</w:t>
            </w:r>
          </w:p>
        </w:tc>
      </w:tr>
      <w:tr w:rsidR="001A5B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13179" w:rsidRDefault="00913179">
            <w:pPr>
              <w:pStyle w:val="1CStyle0"/>
            </w:pPr>
          </w:p>
        </w:tc>
      </w:tr>
      <w:tr w:rsidR="009131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13179" w:rsidRDefault="001A5B90">
            <w:pPr>
              <w:pStyle w:val="1CStyle19"/>
            </w:pPr>
            <w:r>
              <w:t>3.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13179" w:rsidRDefault="001A5B90">
            <w:pPr>
              <w:pStyle w:val="1CStyle23"/>
              <w:jc w:val="left"/>
            </w:pPr>
            <w:r>
              <w:t>Условия проведения закупочной процедуры.</w:t>
            </w:r>
          </w:p>
        </w:tc>
      </w:tr>
      <w:tr w:rsidR="009131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24"/>
              <w:jc w:val="left"/>
            </w:pPr>
            <w:r>
              <w:t>Начальная (максимальная)  цена предмета закупки для участников, не освобожденных от уплаты НДС (с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25"/>
            </w:pPr>
            <w:r>
              <w:t>197 061,05</w:t>
            </w:r>
          </w:p>
        </w:tc>
        <w:tc>
          <w:tcPr>
            <w:tcW w:w="2312" w:type="dxa"/>
            <w:gridSpan w:val="8"/>
            <w:vMerge w:val="restart"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26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27"/>
            </w:pPr>
            <w:r>
              <w:t>Открытый запрос предложений в электронной форме</w:t>
            </w:r>
          </w:p>
        </w:tc>
      </w:tr>
      <w:tr w:rsidR="009131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24"/>
              <w:jc w:val="left"/>
            </w:pPr>
            <w:r>
              <w:t>В том числе НДС,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25"/>
            </w:pPr>
            <w:r>
              <w:t>30 060,16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26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27"/>
            </w:pPr>
            <w:r>
              <w:t>Открытый запрос предложений в электронной форме</w:t>
            </w:r>
          </w:p>
        </w:tc>
      </w:tr>
      <w:tr w:rsidR="009131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24"/>
              <w:jc w:val="left"/>
            </w:pPr>
            <w:r>
              <w:t xml:space="preserve"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</w:t>
            </w:r>
            <w:r>
              <w:t>(без 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28"/>
            </w:pPr>
            <w:r>
              <w:t>167 000,89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26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27"/>
            </w:pPr>
            <w:r>
              <w:t>Открытый запрос предложений в электронной форме</w:t>
            </w:r>
          </w:p>
        </w:tc>
      </w:tr>
      <w:tr w:rsidR="009131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47" w:type="dxa"/>
            <w:gridSpan w:val="2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29"/>
            </w:pPr>
            <w:r>
              <w:t>Обязательное требование к условиям оплаты товара</w:t>
            </w:r>
          </w:p>
        </w:tc>
        <w:tc>
          <w:tcPr>
            <w:tcW w:w="7803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3179" w:rsidRDefault="001A5B90">
            <w:pPr>
              <w:pStyle w:val="1CStyle22"/>
              <w:jc w:val="left"/>
            </w:pPr>
            <w:r>
              <w:t>100% в течение 45 календарных дней после поставки "Товара"</w:t>
            </w:r>
          </w:p>
        </w:tc>
      </w:tr>
    </w:tbl>
    <w:p w:rsidR="00000000" w:rsidRDefault="001A5B90"/>
    <w:sectPr w:rsidR="00000000" w:rsidSect="001A5B9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13179"/>
    <w:rsid w:val="001A5B90"/>
    <w:rsid w:val="0091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pPr>
      <w:jc w:val="center"/>
    </w:pPr>
    <w:rPr>
      <w:rFonts w:ascii="Times New Roman" w:hAnsi="Times New Roman"/>
    </w:rPr>
  </w:style>
  <w:style w:type="paragraph" w:customStyle="1" w:styleId="1CStyle18">
    <w:name w:val="1CStyle18"/>
    <w:pPr>
      <w:jc w:val="center"/>
    </w:pPr>
    <w:rPr>
      <w:rFonts w:ascii="Times New Roman" w:hAnsi="Times New Roman"/>
    </w:rPr>
  </w:style>
  <w:style w:type="paragraph" w:customStyle="1" w:styleId="1CStyle23">
    <w:name w:val="1CStyle23"/>
    <w:pPr>
      <w:jc w:val="center"/>
    </w:pPr>
    <w:rPr>
      <w:rFonts w:ascii="Times New Roman" w:hAnsi="Times New Roman"/>
      <w:b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8"/>
    </w:rPr>
  </w:style>
  <w:style w:type="paragraph" w:customStyle="1" w:styleId="1CStyle19">
    <w:name w:val="1CStyle19"/>
    <w:pPr>
      <w:jc w:val="center"/>
    </w:pPr>
    <w:rPr>
      <w:rFonts w:ascii="Times New Roman" w:hAnsi="Times New Roman"/>
      <w:b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</w:rPr>
  </w:style>
  <w:style w:type="paragraph" w:customStyle="1" w:styleId="1CStyle5">
    <w:name w:val="1CStyle5"/>
    <w:pPr>
      <w:jc w:val="center"/>
    </w:pPr>
    <w:rPr>
      <w:rFonts w:ascii="Times New Roman" w:hAnsi="Times New Roman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</w:rPr>
  </w:style>
  <w:style w:type="paragraph" w:customStyle="1" w:styleId="1CStyle26">
    <w:name w:val="1CStyle26"/>
    <w:pPr>
      <w:jc w:val="center"/>
    </w:pPr>
    <w:rPr>
      <w:rFonts w:ascii="Times New Roman" w:hAnsi="Times New Roman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</w:rPr>
  </w:style>
  <w:style w:type="paragraph" w:customStyle="1" w:styleId="1CStyle6">
    <w:name w:val="1CStyle6"/>
    <w:pPr>
      <w:jc w:val="center"/>
    </w:pPr>
    <w:rPr>
      <w:rFonts w:ascii="Times New Roman" w:hAnsi="Times New Roman"/>
      <w:sz w:val="20"/>
    </w:rPr>
  </w:style>
  <w:style w:type="paragraph" w:customStyle="1" w:styleId="1CStyle8">
    <w:name w:val="1CStyle8"/>
    <w:pPr>
      <w:jc w:val="center"/>
    </w:pPr>
    <w:rPr>
      <w:rFonts w:ascii="Times New Roman" w:hAnsi="Times New Roman"/>
      <w:sz w:val="20"/>
    </w:rPr>
  </w:style>
  <w:style w:type="paragraph" w:customStyle="1" w:styleId="1CStyle21">
    <w:name w:val="1CStyle21"/>
    <w:pPr>
      <w:jc w:val="right"/>
    </w:pPr>
    <w:rPr>
      <w:rFonts w:ascii="Times New Roman" w:hAnsi="Times New Roman"/>
    </w:rPr>
  </w:style>
  <w:style w:type="paragraph" w:customStyle="1" w:styleId="1CStyle-1">
    <w:name w:val="1CStyle-1"/>
    <w:pPr>
      <w:jc w:val="center"/>
    </w:pPr>
    <w:rPr>
      <w:rFonts w:ascii="Times New Roman" w:hAnsi="Times New Roman"/>
    </w:rPr>
  </w:style>
  <w:style w:type="paragraph" w:customStyle="1" w:styleId="1CStyle24">
    <w:name w:val="1CStyle24"/>
    <w:pPr>
      <w:jc w:val="center"/>
    </w:pPr>
    <w:rPr>
      <w:rFonts w:ascii="Times New Roman" w:hAnsi="Times New Roman"/>
    </w:rPr>
  </w:style>
  <w:style w:type="paragraph" w:customStyle="1" w:styleId="1CStyle22">
    <w:name w:val="1CStyle22"/>
    <w:pPr>
      <w:jc w:val="center"/>
    </w:pPr>
    <w:rPr>
      <w:rFonts w:ascii="Times New Roman" w:hAnsi="Times New Roman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0"/>
    </w:rPr>
  </w:style>
  <w:style w:type="paragraph" w:customStyle="1" w:styleId="1CStyle27">
    <w:name w:val="1CStyle27"/>
    <w:pPr>
      <w:jc w:val="center"/>
    </w:pPr>
    <w:rPr>
      <w:rFonts w:ascii="Times New Roman" w:hAnsi="Times New Roman"/>
    </w:rPr>
  </w:style>
  <w:style w:type="paragraph" w:customStyle="1" w:styleId="1CStyle7">
    <w:name w:val="1CStyle7"/>
    <w:pPr>
      <w:jc w:val="center"/>
    </w:pPr>
    <w:rPr>
      <w:rFonts w:ascii="Times New Roman" w:hAnsi="Times New Roman"/>
      <w:sz w:val="20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0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sz w:val="20"/>
    </w:rPr>
  </w:style>
  <w:style w:type="paragraph" w:customStyle="1" w:styleId="1CStyle20">
    <w:name w:val="1CStyle20"/>
    <w:pPr>
      <w:jc w:val="center"/>
    </w:pPr>
    <w:rPr>
      <w:rFonts w:ascii="Times New Roman" w:hAnsi="Times New Roman"/>
      <w:b/>
    </w:rPr>
  </w:style>
  <w:style w:type="paragraph" w:customStyle="1" w:styleId="1CStyle10">
    <w:name w:val="1CStyle10"/>
    <w:pPr>
      <w:jc w:val="center"/>
    </w:pPr>
    <w:rPr>
      <w:rFonts w:ascii="Times New Roman" w:hAnsi="Times New Roman"/>
      <w:sz w:val="20"/>
    </w:rPr>
  </w:style>
  <w:style w:type="paragraph" w:customStyle="1" w:styleId="1CStyle29">
    <w:name w:val="1CStyle29"/>
    <w:pPr>
      <w:jc w:val="right"/>
    </w:pPr>
    <w:rPr>
      <w:rFonts w:ascii="Times New Roman" w:hAnsi="Times New Roman"/>
      <w:b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0"/>
    </w:rPr>
  </w:style>
  <w:style w:type="paragraph" w:customStyle="1" w:styleId="1CStyle14">
    <w:name w:val="1CStyle14"/>
    <w:pPr>
      <w:jc w:val="right"/>
    </w:pPr>
    <w:rPr>
      <w:rFonts w:ascii="Times New Roman" w:hAnsi="Times New Roman"/>
      <w:sz w:val="20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0"/>
    </w:rPr>
  </w:style>
  <w:style w:type="paragraph" w:customStyle="1" w:styleId="1CStyle25">
    <w:name w:val="1CStyle25"/>
    <w:pPr>
      <w:jc w:val="center"/>
    </w:pPr>
    <w:rPr>
      <w:rFonts w:ascii="Times New Roman" w:hAnsi="Times New Roman"/>
    </w:rPr>
  </w:style>
  <w:style w:type="paragraph" w:customStyle="1" w:styleId="1CStyle28">
    <w:name w:val="1CStyle28"/>
    <w:pPr>
      <w:jc w:val="center"/>
    </w:pPr>
    <w:rPr>
      <w:rFonts w:ascii="Times New Roman" w:hAnsi="Times New Roman"/>
    </w:rPr>
  </w:style>
  <w:style w:type="paragraph" w:customStyle="1" w:styleId="1CStyle17">
    <w:name w:val="1CStyle17"/>
    <w:pPr>
      <w:ind w:left="20"/>
      <w:jc w:val="center"/>
    </w:pPr>
    <w:rPr>
      <w:rFonts w:ascii="Times New Roman" w:hAnsi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1914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Александрович Косенков</cp:lastModifiedBy>
  <cp:revision>2</cp:revision>
  <dcterms:created xsi:type="dcterms:W3CDTF">2017-01-17T08:50:00Z</dcterms:created>
  <dcterms:modified xsi:type="dcterms:W3CDTF">2017-01-17T08:50:00Z</dcterms:modified>
</cp:coreProperties>
</file>