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8B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B2408" w:rsidRDefault="009B2408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</w:tr>
      <w:tr w:rsidR="008B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B2408" w:rsidRDefault="009B2408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9B2408" w:rsidRDefault="008B5E49">
            <w:pPr>
              <w:pStyle w:val="1CStyle1"/>
            </w:pPr>
            <w:r>
              <w:t>Техническое задание по Лоту №1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9B2408" w:rsidRDefault="008B5E49">
            <w:pPr>
              <w:pStyle w:val="1CStyle1"/>
            </w:pPr>
            <w:r>
              <w:t>По открытому запросу предложений  в электронной форме № 110 346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9B2408" w:rsidRDefault="008B5E49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8B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B2408" w:rsidRDefault="009B2408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</w:tr>
      <w:tr w:rsidR="008B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B2408" w:rsidRDefault="009B2408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</w:tr>
      <w:tr w:rsidR="008B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B2408" w:rsidRDefault="009B2408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</w:tr>
      <w:tr w:rsidR="008B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B2408" w:rsidRDefault="009B2408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  <w:jc w:val="left"/>
            </w:pP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4"/>
              <w:jc w:val="left"/>
            </w:pPr>
            <w:r>
              <w:t>ОКВЭД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9B2408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9B2408">
            <w:pPr>
              <w:pStyle w:val="1CStyle5"/>
              <w:jc w:val="left"/>
            </w:pP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11"/>
            </w:pPr>
            <w:r>
              <w:t>Место (адрес) поставки товара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13"/>
              <w:jc w:val="left"/>
            </w:pPr>
            <w:r>
              <w:t xml:space="preserve">Передавливатель гидравлический Caldervale </w:t>
            </w:r>
            <w:r>
              <w:t>D63-180мм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B2408" w:rsidRDefault="008B5E49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17"/>
              <w:jc w:val="left"/>
            </w:pPr>
            <w:r>
              <w:t xml:space="preserve">Пережимное устройство с гидравлическим приводом, предназначенное для передавливания ПЭ труб Ø 63 – </w:t>
            </w:r>
            <w:r>
              <w:t>180 мм с целью локального перекрытия потока жидкости или газа для проведения ремонтных, в частности, сварочных работ на трубопроводе.Обслуживаемый диапазон диаметров труб до 180 мм, где усилия механических передавливателей не хватает</w:t>
            </w:r>
            <w:r>
              <w:br/>
              <w:t>Движение пережимной шт</w:t>
            </w:r>
            <w:r>
              <w:t>анги отграничено двумя ограничителями на боках устройства. Ограничители вращаются вокруг оси и имеют 4 – 6 фиксированных положений, определяющих толщину стенки передавливаемой трубы. Правильный выбор положения ограничителя гарантирует герметичное перекрыти</w:t>
            </w:r>
            <w:r>
              <w:t>е трубы и отсутствие необратимых повреждений ее стенок. Диаметр труб 63, 75, 90,110, 125, 140, 160, 180 мм.</w:t>
            </w:r>
          </w:p>
        </w:tc>
      </w:tr>
      <w:tr w:rsidR="008B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408" w:rsidRDefault="008B5E49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408" w:rsidRDefault="008B5E49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408" w:rsidRDefault="008B5E49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408" w:rsidRDefault="008B5E49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408" w:rsidRDefault="008B5E49">
            <w:pPr>
              <w:pStyle w:val="1CStyle21"/>
            </w:pPr>
            <w:r>
              <w:t>Обязательное требование к сроку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2"/>
              <w:jc w:val="left"/>
            </w:pPr>
            <w:r>
              <w:t xml:space="preserve">Строго в </w:t>
            </w:r>
            <w:r>
              <w:t>соответствии с графиком поставки товара:</w:t>
            </w:r>
          </w:p>
        </w:tc>
      </w:tr>
      <w:tr w:rsidR="008B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408" w:rsidRDefault="008B5E49">
            <w:pPr>
              <w:pStyle w:val="1CStyle19"/>
            </w:pPr>
            <w:r>
              <w:t>2.1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408" w:rsidRDefault="008B5E49">
            <w:pPr>
              <w:pStyle w:val="1CStyle23"/>
              <w:jc w:val="left"/>
            </w:pPr>
            <w:r>
              <w:t>График поставки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7"/>
            </w:pPr>
            <w:r>
              <w:t>Наименование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12"/>
            </w:pPr>
            <w:r>
              <w:t>Срок поставки товара на склад грузополучателя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11"/>
            </w:pPr>
            <w:r>
              <w:t>Место (адрес) поставки товара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4"/>
            </w:pPr>
            <w:r>
              <w:t>1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5"/>
              <w:jc w:val="left"/>
            </w:pPr>
            <w:r>
              <w:t>Передавливатель гидравлический Caldervale D63-180мм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6"/>
            </w:pPr>
            <w:r>
              <w:t xml:space="preserve">от  30 до 45 календарных дней со дня </w:t>
            </w:r>
            <w:r>
              <w:t>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7"/>
            </w:pPr>
            <w:r>
              <w:t>1,000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8B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B2408" w:rsidRDefault="009B2408">
            <w:pPr>
              <w:pStyle w:val="1CStyle0"/>
            </w:pP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408" w:rsidRDefault="008B5E49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408" w:rsidRDefault="008B5E49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9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0"/>
            </w:pPr>
            <w:r>
              <w:t>66 506,90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9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0"/>
            </w:pPr>
            <w:r>
              <w:t>10 145,12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9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3"/>
            </w:pPr>
            <w:r>
              <w:t>56 361,78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9B2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34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408" w:rsidRDefault="008B5E49">
            <w:pPr>
              <w:pStyle w:val="1CStyle22"/>
              <w:jc w:val="left"/>
            </w:pPr>
            <w:r>
              <w:t>Оплата производится   по факту поставки товара путем перечисления денежных средств на расчетный счет Поставщика не</w:t>
            </w:r>
            <w:r>
              <w:t xml:space="preserve"> позднее 45 календарных дней от даты подписания товарных накладных  на основании выставленного Поставщиком счета.</w:t>
            </w:r>
          </w:p>
        </w:tc>
      </w:tr>
    </w:tbl>
    <w:p w:rsidR="00000000" w:rsidRDefault="008B5E49"/>
    <w:sectPr w:rsidR="00000000" w:rsidSect="008B5E4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2408"/>
    <w:rsid w:val="008B5E49"/>
    <w:rsid w:val="009B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31">
    <w:name w:val="1CStyle31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9">
    <w:name w:val="1CStyle29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  <w:sz w:val="20"/>
    </w:rPr>
  </w:style>
  <w:style w:type="paragraph" w:customStyle="1" w:styleId="1CStyle32">
    <w:name w:val="1CStyle32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  <w:sz w:val="20"/>
    </w:rPr>
  </w:style>
  <w:style w:type="paragraph" w:customStyle="1" w:styleId="1CStyle28">
    <w:name w:val="1CStyle28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34">
    <w:name w:val="1CStyle34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30">
    <w:name w:val="1CStyle30"/>
    <w:pPr>
      <w:jc w:val="center"/>
    </w:pPr>
    <w:rPr>
      <w:rFonts w:ascii="Times New Roman" w:hAnsi="Times New Roman"/>
    </w:rPr>
  </w:style>
  <w:style w:type="paragraph" w:customStyle="1" w:styleId="1CStyle33">
    <w:name w:val="1CStyle33"/>
    <w:pPr>
      <w:jc w:val="center"/>
    </w:pPr>
    <w:rPr>
      <w:rFonts w:ascii="Times New Roman" w:hAnsi="Times New Roman"/>
    </w:rPr>
  </w:style>
  <w:style w:type="paragraph" w:customStyle="1" w:styleId="1CStyle27">
    <w:name w:val="1CStyle27"/>
    <w:pPr>
      <w:jc w:val="right"/>
    </w:pPr>
    <w:rPr>
      <w:rFonts w:ascii="Times New Roman" w:hAnsi="Times New Roman"/>
      <w:sz w:val="20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2662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2017-01-17T08:49:00Z</dcterms:created>
  <dcterms:modified xsi:type="dcterms:W3CDTF">2017-01-17T08:49:00Z</dcterms:modified>
</cp:coreProperties>
</file>